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Éste es uno de los puntos en los que la </w:t>
      </w:r>
      <w:hyperlink r:id="rId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diferencia</w:t>
        </w:r>
      </w:hyperlink>
      <w:r w:rsidRPr="00A71674">
        <w:rPr>
          <w:rFonts w:ascii="Garamond" w:hAnsi="Garamond"/>
          <w:lang w:val="es-ES_tradnl"/>
        </w:rPr>
        <w:t xml:space="preserve"> entre el español de España y el español de otros países </w:t>
      </w:r>
      <w:hyperlink r:id="rId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latinoamericanos</w:t>
        </w:r>
      </w:hyperlink>
      <w:r w:rsidRPr="00A71674">
        <w:rPr>
          <w:rFonts w:ascii="Garamond" w:hAnsi="Garamond"/>
          <w:lang w:val="es-ES_tradnl"/>
        </w:rPr>
        <w:t xml:space="preserve"> </w:t>
      </w:r>
      <w:hyperlink r:id="rId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salta</w:t>
        </w:r>
      </w:hyperlink>
      <w:r w:rsidRPr="00A71674">
        <w:rPr>
          <w:rFonts w:ascii="Garamond" w:hAnsi="Garamond"/>
          <w:lang w:val="es-ES_tradnl"/>
        </w:rPr>
        <w:t xml:space="preserve"> más rápidamente a la </w:t>
      </w:r>
      <w:hyperlink r:id="rId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vista</w:t>
        </w:r>
      </w:hyperlink>
      <w:r w:rsidRPr="00A71674">
        <w:rPr>
          <w:rFonts w:ascii="Garamond" w:hAnsi="Garamond"/>
          <w:lang w:val="es-ES_tradnl"/>
        </w:rPr>
        <w:t xml:space="preserve">. Veamos en este capítulo el uso </w:t>
      </w:r>
      <w:hyperlink r:id="rId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habitual</w:t>
        </w:r>
      </w:hyperlink>
      <w:r w:rsidRPr="00A71674">
        <w:rPr>
          <w:rFonts w:ascii="Garamond" w:hAnsi="Garamond"/>
          <w:lang w:val="es-ES_tradnl"/>
        </w:rPr>
        <w:t xml:space="preserve"> de cada una de estas formas de </w:t>
      </w:r>
      <w:hyperlink r:id="rId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referirnos</w:t>
        </w:r>
      </w:hyperlink>
      <w:r w:rsidRPr="00A71674">
        <w:rPr>
          <w:rFonts w:ascii="Garamond" w:hAnsi="Garamond"/>
          <w:lang w:val="es-ES_tradnl"/>
        </w:rPr>
        <w:t xml:space="preserve"> a un </w:t>
      </w:r>
      <w:hyperlink r:id="rId1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oyente</w:t>
        </w:r>
      </w:hyperlink>
      <w:r w:rsidRPr="00A71674">
        <w:rPr>
          <w:rFonts w:ascii="Garamond" w:hAnsi="Garamond"/>
          <w:lang w:val="es-ES_tradnl"/>
        </w:rPr>
        <w:t>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En España la </w:t>
      </w:r>
      <w:hyperlink r:id="rId1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regla</w:t>
        </w:r>
      </w:hyperlink>
      <w:r w:rsidRPr="00A71674">
        <w:rPr>
          <w:rFonts w:ascii="Garamond" w:hAnsi="Garamond"/>
          <w:lang w:val="es-ES_tradnl"/>
        </w:rPr>
        <w:t xml:space="preserve"> general es usar tú/vosotros en </w:t>
      </w:r>
      <w:hyperlink r:id="rId1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relaciones</w:t>
        </w:r>
      </w:hyperlink>
      <w:r w:rsidRPr="00A71674">
        <w:rPr>
          <w:rFonts w:ascii="Garamond" w:hAnsi="Garamond"/>
          <w:lang w:val="es-ES_tradnl"/>
        </w:rPr>
        <w:t xml:space="preserve"> de </w:t>
      </w:r>
      <w:hyperlink r:id="rId13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confianza</w:t>
        </w:r>
      </w:hyperlink>
      <w:r w:rsidRPr="00A71674">
        <w:rPr>
          <w:rFonts w:ascii="Garamond" w:hAnsi="Garamond"/>
          <w:lang w:val="es-ES_tradnl"/>
        </w:rPr>
        <w:t xml:space="preserve"> y usted/ustedes (Vd</w:t>
      </w:r>
      <w:proofErr w:type="gramStart"/>
      <w:r w:rsidRPr="00A71674">
        <w:rPr>
          <w:rFonts w:ascii="Garamond" w:hAnsi="Garamond"/>
          <w:lang w:val="es-ES_tradnl"/>
        </w:rPr>
        <w:t>./</w:t>
      </w:r>
      <w:proofErr w:type="gramEnd"/>
      <w:r w:rsidRPr="00A71674">
        <w:rPr>
          <w:rFonts w:ascii="Garamond" w:hAnsi="Garamond"/>
          <w:lang w:val="es-ES_tradnl"/>
        </w:rPr>
        <w:t xml:space="preserve">Vds.) en relaciones </w:t>
      </w:r>
      <w:hyperlink r:id="rId1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formales</w:t>
        </w:r>
      </w:hyperlink>
      <w:r w:rsidRPr="00A71674">
        <w:rPr>
          <w:rFonts w:ascii="Garamond" w:hAnsi="Garamond"/>
          <w:lang w:val="es-ES_tradnl"/>
        </w:rPr>
        <w:t xml:space="preserve">. Veamos ejemplos de cada una de ellas. Por ejemplo, entre amigos: “Vamos a ir casi todos a ver la nueva casa de Jesús, ¿vosotros también?”, “Pero, ¿quién te has </w:t>
      </w:r>
      <w:hyperlink r:id="rId1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creído</w:t>
        </w:r>
      </w:hyperlink>
      <w:r w:rsidRPr="00A71674">
        <w:rPr>
          <w:rFonts w:ascii="Garamond" w:hAnsi="Garamond"/>
          <w:lang w:val="es-ES_tradnl"/>
        </w:rPr>
        <w:t xml:space="preserve"> que eres?”. </w:t>
      </w:r>
      <w:hyperlink r:id="rId1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Note</w:t>
        </w:r>
      </w:hyperlink>
      <w:r w:rsidRPr="00A71674">
        <w:rPr>
          <w:rFonts w:ascii="Garamond" w:hAnsi="Garamond"/>
          <w:lang w:val="es-ES_tradnl"/>
        </w:rPr>
        <w:t xml:space="preserve"> que no necesariamente debe </w:t>
      </w:r>
      <w:hyperlink r:id="rId1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aparecer</w:t>
        </w:r>
      </w:hyperlink>
      <w:r w:rsidRPr="00A71674">
        <w:rPr>
          <w:rFonts w:ascii="Garamond" w:hAnsi="Garamond"/>
          <w:lang w:val="es-ES_tradnl"/>
        </w:rPr>
        <w:t xml:space="preserve"> </w:t>
      </w:r>
      <w:hyperlink r:id="rId1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explícitamente</w:t>
        </w:r>
      </w:hyperlink>
      <w:r w:rsidRPr="00A71674">
        <w:rPr>
          <w:rFonts w:ascii="Garamond" w:hAnsi="Garamond"/>
          <w:lang w:val="es-ES_tradnl"/>
        </w:rPr>
        <w:t xml:space="preserve"> la palabra tú, pero sabemos que nos </w:t>
      </w:r>
      <w:hyperlink r:id="rId1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dirigimos</w:t>
        </w:r>
      </w:hyperlink>
      <w:r w:rsidRPr="00A71674">
        <w:rPr>
          <w:rFonts w:ascii="Garamond" w:hAnsi="Garamond"/>
          <w:lang w:val="es-ES_tradnl"/>
        </w:rPr>
        <w:t xml:space="preserve"> a la persona en </w:t>
      </w:r>
      <w:hyperlink r:id="rId2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cuestión</w:t>
        </w:r>
      </w:hyperlink>
      <w:r w:rsidRPr="00A71674">
        <w:rPr>
          <w:rFonts w:ascii="Garamond" w:hAnsi="Garamond"/>
          <w:lang w:val="es-ES_tradnl"/>
        </w:rPr>
        <w:t xml:space="preserve"> de esta </w:t>
      </w:r>
      <w:hyperlink r:id="rId2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manera</w:t>
        </w:r>
      </w:hyperlink>
      <w:r w:rsidRPr="00A71674">
        <w:rPr>
          <w:rFonts w:ascii="Garamond" w:hAnsi="Garamond"/>
          <w:lang w:val="es-ES_tradnl"/>
        </w:rPr>
        <w:t xml:space="preserve"> porque el verbo está </w:t>
      </w:r>
      <w:hyperlink r:id="rId2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conjugado</w:t>
        </w:r>
      </w:hyperlink>
      <w:r w:rsidRPr="00A71674">
        <w:rPr>
          <w:rFonts w:ascii="Garamond" w:hAnsi="Garamond"/>
          <w:lang w:val="es-ES_tradnl"/>
        </w:rPr>
        <w:t xml:space="preserve"> de esa forma (“te has creído”, “eres”). Las mismas frases en un entorno más formal quedarían “Vamos a ir casi todos a ver la nueva casa de Jesús, ¿ustedes también?”, “Pero, ¿quién se ha creído Vd. que es?”. Los verbos que </w:t>
      </w:r>
      <w:hyperlink r:id="rId23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acompañan</w:t>
        </w:r>
      </w:hyperlink>
      <w:r w:rsidRPr="00A71674">
        <w:rPr>
          <w:rFonts w:ascii="Garamond" w:hAnsi="Garamond"/>
          <w:lang w:val="es-ES_tradnl"/>
        </w:rPr>
        <w:t xml:space="preserve"> a Vd. se conjugan en tercera persona del singular (“se ha creído”, “es”), y los que acompañan a Vds. en tercera persona del plural.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Qué relaciones son formales y cuáles no </w:t>
      </w:r>
      <w:hyperlink r:id="rId2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depende</w:t>
        </w:r>
      </w:hyperlink>
      <w:r w:rsidRPr="00A71674">
        <w:rPr>
          <w:rFonts w:ascii="Garamond" w:hAnsi="Garamond"/>
          <w:lang w:val="es-ES_tradnl"/>
        </w:rPr>
        <w:t xml:space="preserve"> en gran </w:t>
      </w:r>
      <w:hyperlink r:id="rId2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medida</w:t>
        </w:r>
      </w:hyperlink>
      <w:r w:rsidRPr="00A71674">
        <w:rPr>
          <w:rFonts w:ascii="Garamond" w:hAnsi="Garamond"/>
          <w:lang w:val="es-ES_tradnl"/>
        </w:rPr>
        <w:t xml:space="preserve"> de la región de España y, en general, está cambiando hacia </w:t>
      </w:r>
      <w:hyperlink r:id="rId2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perder</w:t>
        </w:r>
      </w:hyperlink>
      <w:r w:rsidRPr="00A71674">
        <w:rPr>
          <w:rFonts w:ascii="Garamond" w:hAnsi="Garamond"/>
          <w:lang w:val="es-ES_tradnl"/>
        </w:rPr>
        <w:t xml:space="preserve"> el Vd. y Vds. </w:t>
      </w:r>
      <w:hyperlink r:id="rId2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Suelen</w:t>
        </w:r>
      </w:hyperlink>
      <w:r w:rsidRPr="00A71674">
        <w:rPr>
          <w:rFonts w:ascii="Garamond" w:hAnsi="Garamond"/>
          <w:lang w:val="es-ES_tradnl"/>
        </w:rPr>
        <w:t xml:space="preserve"> ser relaciones formales aquellas con personas </w:t>
      </w:r>
      <w:hyperlink r:id="rId2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mayores</w:t>
        </w:r>
      </w:hyperlink>
      <w:r w:rsidRPr="00A71674">
        <w:rPr>
          <w:rFonts w:ascii="Garamond" w:hAnsi="Garamond"/>
          <w:lang w:val="es-ES_tradnl"/>
        </w:rPr>
        <w:t xml:space="preserve">, con personas </w:t>
      </w:r>
      <w:hyperlink r:id="rId2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desconocidas</w:t>
        </w:r>
      </w:hyperlink>
      <w:r w:rsidRPr="00A71674">
        <w:rPr>
          <w:rFonts w:ascii="Garamond" w:hAnsi="Garamond"/>
          <w:lang w:val="es-ES_tradnl"/>
        </w:rPr>
        <w:t xml:space="preserve"> (incluidas las que son por teléfono), en </w:t>
      </w:r>
      <w:hyperlink r:id="rId3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tiendas</w:t>
        </w:r>
      </w:hyperlink>
      <w:r w:rsidRPr="00A71674">
        <w:rPr>
          <w:rFonts w:ascii="Garamond" w:hAnsi="Garamond"/>
          <w:lang w:val="es-ES_tradnl"/>
        </w:rPr>
        <w:t xml:space="preserve">, </w:t>
      </w:r>
      <w:hyperlink r:id="rId3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taxis</w:t>
        </w:r>
      </w:hyperlink>
      <w:r w:rsidRPr="00A71674">
        <w:rPr>
          <w:rFonts w:ascii="Garamond" w:hAnsi="Garamond"/>
          <w:lang w:val="es-ES_tradnl"/>
        </w:rPr>
        <w:t xml:space="preserve">, </w:t>
      </w:r>
      <w:hyperlink r:id="rId3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restaurantes</w:t>
        </w:r>
      </w:hyperlink>
      <w:r w:rsidRPr="00A71674">
        <w:rPr>
          <w:rFonts w:ascii="Garamond" w:hAnsi="Garamond"/>
          <w:lang w:val="es-ES_tradnl"/>
        </w:rPr>
        <w:t xml:space="preserve">, </w:t>
      </w:r>
      <w:hyperlink r:id="rId33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bares</w:t>
        </w:r>
      </w:hyperlink>
      <w:r w:rsidRPr="00A71674">
        <w:rPr>
          <w:rFonts w:ascii="Garamond" w:hAnsi="Garamond"/>
          <w:lang w:val="es-ES_tradnl"/>
        </w:rPr>
        <w:t xml:space="preserve">, etc. También son relaciones formales las que hay con los </w:t>
      </w:r>
      <w:hyperlink r:id="rId3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superiores</w:t>
        </w:r>
      </w:hyperlink>
      <w:r w:rsidRPr="00A71674">
        <w:rPr>
          <w:rFonts w:ascii="Garamond" w:hAnsi="Garamond"/>
          <w:lang w:val="es-ES_tradnl"/>
        </w:rPr>
        <w:t xml:space="preserve"> en una </w:t>
      </w:r>
      <w:hyperlink r:id="rId3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empresa</w:t>
        </w:r>
      </w:hyperlink>
      <w:r w:rsidRPr="00A71674">
        <w:rPr>
          <w:rFonts w:ascii="Garamond" w:hAnsi="Garamond"/>
          <w:lang w:val="es-ES_tradnl"/>
        </w:rPr>
        <w:t xml:space="preserve">, especialmente si se </w:t>
      </w:r>
      <w:hyperlink r:id="rId3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hallan</w:t>
        </w:r>
      </w:hyperlink>
      <w:r w:rsidRPr="00A71674">
        <w:rPr>
          <w:rFonts w:ascii="Garamond" w:hAnsi="Garamond"/>
          <w:lang w:val="es-ES_tradnl"/>
        </w:rPr>
        <w:t xml:space="preserve"> muy arriba en la </w:t>
      </w:r>
      <w:hyperlink r:id="rId3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jerarquía</w:t>
        </w:r>
      </w:hyperlink>
      <w:r w:rsidRPr="00A71674">
        <w:rPr>
          <w:rFonts w:ascii="Garamond" w:hAnsi="Garamond"/>
          <w:lang w:val="es-ES_tradnl"/>
        </w:rPr>
        <w:t xml:space="preserve">. Antes de la </w:t>
      </w:r>
      <w:hyperlink r:id="rId3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universidad</w:t>
        </w:r>
      </w:hyperlink>
      <w:r w:rsidRPr="00A71674">
        <w:rPr>
          <w:rFonts w:ascii="Garamond" w:hAnsi="Garamond"/>
          <w:lang w:val="es-ES_tradnl"/>
        </w:rPr>
        <w:t xml:space="preserve"> los profesores y alumnos se suelen hablar de tú, en la universidad la regla </w:t>
      </w:r>
      <w:hyperlink r:id="rId3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solía</w:t>
        </w:r>
      </w:hyperlink>
      <w:r w:rsidRPr="00A71674">
        <w:rPr>
          <w:rFonts w:ascii="Garamond" w:hAnsi="Garamond"/>
          <w:lang w:val="es-ES_tradnl"/>
        </w:rPr>
        <w:t xml:space="preserve"> ser que el profesor hablaba de tú al alumno, y el alumno de Vd. al profesor.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Sin embargo, estos usos habituales están cambiando y, dependiendo de la zona, no es </w:t>
      </w:r>
      <w:hyperlink r:id="rId4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infrecuente</w:t>
        </w:r>
      </w:hyperlink>
      <w:r w:rsidRPr="00A71674">
        <w:rPr>
          <w:rFonts w:ascii="Garamond" w:hAnsi="Garamond"/>
          <w:lang w:val="es-ES_tradnl"/>
        </w:rPr>
        <w:t xml:space="preserve"> que un </w:t>
      </w:r>
      <w:hyperlink r:id="rId4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dependiente</w:t>
        </w:r>
      </w:hyperlink>
      <w:r w:rsidRPr="00A71674">
        <w:rPr>
          <w:rFonts w:ascii="Garamond" w:hAnsi="Garamond"/>
          <w:lang w:val="es-ES_tradnl"/>
        </w:rPr>
        <w:t xml:space="preserve"> o </w:t>
      </w:r>
      <w:hyperlink r:id="rId4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camarero</w:t>
        </w:r>
      </w:hyperlink>
      <w:r w:rsidRPr="00A71674">
        <w:rPr>
          <w:rFonts w:ascii="Garamond" w:hAnsi="Garamond"/>
          <w:lang w:val="es-ES_tradnl"/>
        </w:rPr>
        <w:t xml:space="preserve"> nos hable de tú (Madrid es un buen ejemplo de esta situación).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Es difícil </w:t>
      </w:r>
      <w:hyperlink r:id="rId43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generalizar</w:t>
        </w:r>
      </w:hyperlink>
      <w:r w:rsidRPr="00A71674">
        <w:rPr>
          <w:rFonts w:ascii="Garamond" w:hAnsi="Garamond"/>
          <w:lang w:val="es-ES_tradnl"/>
        </w:rPr>
        <w:t xml:space="preserve"> para toda América Latina, pero si tuviéramos que decir algo sería una buena </w:t>
      </w:r>
      <w:hyperlink r:id="rId4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aproximación</w:t>
        </w:r>
      </w:hyperlink>
      <w:r w:rsidRPr="00A71674">
        <w:rPr>
          <w:rFonts w:ascii="Garamond" w:hAnsi="Garamond"/>
          <w:lang w:val="es-ES_tradnl"/>
        </w:rPr>
        <w:t xml:space="preserve"> </w:t>
      </w:r>
      <w:hyperlink r:id="rId4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afirmar</w:t>
        </w:r>
      </w:hyperlink>
      <w:r w:rsidRPr="00A71674">
        <w:rPr>
          <w:rFonts w:ascii="Garamond" w:hAnsi="Garamond"/>
          <w:lang w:val="es-ES_tradnl"/>
        </w:rPr>
        <w:t xml:space="preserve"> que tú y usted se usan en situaciones similares a España, pero que vosotros </w:t>
      </w:r>
      <w:hyperlink r:id="rId4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apenas</w:t>
        </w:r>
      </w:hyperlink>
      <w:r w:rsidRPr="00A71674">
        <w:rPr>
          <w:rFonts w:ascii="Garamond" w:hAnsi="Garamond"/>
          <w:lang w:val="es-ES_tradnl"/>
        </w:rPr>
        <w:t xml:space="preserve"> se utiliza. En algunos países incluso se utiliza el usted en las relaciones de familia, y en ese caso no </w:t>
      </w:r>
      <w:hyperlink r:id="rId4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implica</w:t>
        </w:r>
      </w:hyperlink>
      <w:r w:rsidRPr="00A71674">
        <w:rPr>
          <w:rFonts w:ascii="Garamond" w:hAnsi="Garamond"/>
          <w:lang w:val="es-ES_tradnl"/>
        </w:rPr>
        <w:t xml:space="preserve"> una comunicación especialmente formal. Simplemente es la </w:t>
      </w:r>
      <w:hyperlink r:id="rId4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costumbre</w:t>
        </w:r>
      </w:hyperlink>
      <w:r w:rsidRPr="00A71674">
        <w:rPr>
          <w:rFonts w:ascii="Garamond" w:hAnsi="Garamond"/>
          <w:lang w:val="es-ES_tradnl"/>
        </w:rPr>
        <w:t>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En algunas zonas geográficas muy </w:t>
      </w:r>
      <w:hyperlink r:id="rId4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concretas</w:t>
        </w:r>
      </w:hyperlink>
      <w:r w:rsidRPr="00A71674">
        <w:rPr>
          <w:rFonts w:ascii="Garamond" w:hAnsi="Garamond"/>
          <w:lang w:val="es-ES_tradnl"/>
        </w:rPr>
        <w:t xml:space="preserve"> (sobretodo Argentina, Uruguay, y Paraguay) se utiliza el vos en lugar de tú. Se suele conjugar como tú en casi todos los tiempos salvo en presente de indicativo e imperativo. El presente de indicativo tiene siempre el acento en la última </w:t>
      </w:r>
      <w:hyperlink r:id="rId5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sílaba</w:t>
        </w:r>
      </w:hyperlink>
      <w:r w:rsidRPr="00A71674">
        <w:rPr>
          <w:rFonts w:ascii="Garamond" w:hAnsi="Garamond"/>
          <w:lang w:val="es-ES_tradnl"/>
        </w:rPr>
        <w:t xml:space="preserve"> y termina en s. Veamos algunos ejemplos: “Vos </w:t>
      </w:r>
      <w:proofErr w:type="spellStart"/>
      <w:r w:rsidRPr="00A71674">
        <w:rPr>
          <w:rFonts w:ascii="Garamond" w:hAnsi="Garamond"/>
          <w:lang w:val="es-ES_tradnl"/>
        </w:rPr>
        <w:t>cantás</w:t>
      </w:r>
      <w:proofErr w:type="spellEnd"/>
      <w:r w:rsidRPr="00A71674">
        <w:rPr>
          <w:rFonts w:ascii="Garamond" w:hAnsi="Garamond"/>
          <w:lang w:val="es-ES_tradnl"/>
        </w:rPr>
        <w:t xml:space="preserve">” en lugar de “Tú </w:t>
      </w:r>
      <w:hyperlink r:id="rId5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cantas</w:t>
        </w:r>
      </w:hyperlink>
      <w:r w:rsidRPr="00A71674">
        <w:rPr>
          <w:rFonts w:ascii="Garamond" w:hAnsi="Garamond"/>
          <w:lang w:val="es-ES_tradnl"/>
        </w:rPr>
        <w:t xml:space="preserve">”, “Vos </w:t>
      </w:r>
      <w:proofErr w:type="spellStart"/>
      <w:r w:rsidRPr="00A71674">
        <w:rPr>
          <w:rFonts w:ascii="Garamond" w:hAnsi="Garamond"/>
          <w:lang w:val="es-ES_tradnl"/>
        </w:rPr>
        <w:t>comés</w:t>
      </w:r>
      <w:proofErr w:type="spellEnd"/>
      <w:r w:rsidRPr="00A71674">
        <w:rPr>
          <w:rFonts w:ascii="Garamond" w:hAnsi="Garamond"/>
          <w:lang w:val="es-ES_tradnl"/>
        </w:rPr>
        <w:t xml:space="preserve">” en lugar de “Tú </w:t>
      </w:r>
      <w:hyperlink r:id="rId5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comes</w:t>
        </w:r>
      </w:hyperlink>
      <w:r w:rsidRPr="00A71674">
        <w:rPr>
          <w:rFonts w:ascii="Garamond" w:hAnsi="Garamond"/>
          <w:lang w:val="es-ES_tradnl"/>
        </w:rPr>
        <w:t xml:space="preserve">”, “Vos subís” en vez de “Tú </w:t>
      </w:r>
      <w:hyperlink r:id="rId53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subes</w:t>
        </w:r>
      </w:hyperlink>
      <w:r w:rsidRPr="00A71674">
        <w:rPr>
          <w:rFonts w:ascii="Garamond" w:hAnsi="Garamond"/>
          <w:lang w:val="es-ES_tradnl"/>
        </w:rPr>
        <w:t xml:space="preserve">”, “Vos </w:t>
      </w:r>
      <w:proofErr w:type="spellStart"/>
      <w:r w:rsidRPr="00A71674">
        <w:rPr>
          <w:rFonts w:ascii="Garamond" w:hAnsi="Garamond"/>
          <w:lang w:val="es-ES_tradnl"/>
        </w:rPr>
        <w:t>jugás</w:t>
      </w:r>
      <w:proofErr w:type="spellEnd"/>
      <w:r w:rsidRPr="00A71674">
        <w:rPr>
          <w:rFonts w:ascii="Garamond" w:hAnsi="Garamond"/>
          <w:lang w:val="es-ES_tradnl"/>
        </w:rPr>
        <w:t xml:space="preserve">” en vez de “Tú </w:t>
      </w:r>
      <w:hyperlink r:id="rId54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juegas</w:t>
        </w:r>
      </w:hyperlink>
      <w:r w:rsidRPr="00A71674">
        <w:rPr>
          <w:rFonts w:ascii="Garamond" w:hAnsi="Garamond"/>
          <w:lang w:val="es-ES_tradnl"/>
        </w:rPr>
        <w:t xml:space="preserve">”, “Vos </w:t>
      </w:r>
      <w:proofErr w:type="spellStart"/>
      <w:r w:rsidRPr="00A71674">
        <w:rPr>
          <w:rFonts w:ascii="Garamond" w:hAnsi="Garamond"/>
          <w:lang w:val="es-ES_tradnl"/>
        </w:rPr>
        <w:t>querés</w:t>
      </w:r>
      <w:proofErr w:type="spellEnd"/>
      <w:r w:rsidRPr="00A71674">
        <w:rPr>
          <w:rFonts w:ascii="Garamond" w:hAnsi="Garamond"/>
          <w:lang w:val="es-ES_tradnl"/>
        </w:rPr>
        <w:t xml:space="preserve">” por “Tú </w:t>
      </w:r>
      <w:hyperlink r:id="rId55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quieres</w:t>
        </w:r>
      </w:hyperlink>
      <w:r w:rsidRPr="00A71674">
        <w:rPr>
          <w:rFonts w:ascii="Garamond" w:hAnsi="Garamond"/>
          <w:lang w:val="es-ES_tradnl"/>
        </w:rPr>
        <w:t>”, … El imperativo también cambia: “</w:t>
      </w:r>
      <w:proofErr w:type="spellStart"/>
      <w:r w:rsidRPr="00A71674">
        <w:rPr>
          <w:rFonts w:ascii="Garamond" w:hAnsi="Garamond"/>
          <w:lang w:val="es-ES_tradnl"/>
        </w:rPr>
        <w:t>tomá</w:t>
      </w:r>
      <w:proofErr w:type="spellEnd"/>
      <w:r w:rsidRPr="00A71674">
        <w:rPr>
          <w:rFonts w:ascii="Garamond" w:hAnsi="Garamond"/>
          <w:lang w:val="es-ES_tradnl"/>
        </w:rPr>
        <w:t>” por “</w:t>
      </w:r>
      <w:hyperlink r:id="rId56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toma</w:t>
        </w:r>
      </w:hyperlink>
      <w:r w:rsidRPr="00A71674">
        <w:rPr>
          <w:rFonts w:ascii="Garamond" w:hAnsi="Garamond"/>
          <w:lang w:val="es-ES_tradnl"/>
        </w:rPr>
        <w:t>”, “</w:t>
      </w:r>
      <w:proofErr w:type="spellStart"/>
      <w:r w:rsidRPr="00A71674">
        <w:rPr>
          <w:rFonts w:ascii="Garamond" w:hAnsi="Garamond"/>
          <w:lang w:val="es-ES_tradnl"/>
        </w:rPr>
        <w:t>comé</w:t>
      </w:r>
      <w:proofErr w:type="spellEnd"/>
      <w:r w:rsidRPr="00A71674">
        <w:rPr>
          <w:rFonts w:ascii="Garamond" w:hAnsi="Garamond"/>
          <w:lang w:val="es-ES_tradnl"/>
        </w:rPr>
        <w:t>” por “</w:t>
      </w:r>
      <w:hyperlink r:id="rId57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come</w:t>
        </w:r>
      </w:hyperlink>
      <w:r w:rsidRPr="00A71674">
        <w:rPr>
          <w:rFonts w:ascii="Garamond" w:hAnsi="Garamond"/>
          <w:lang w:val="es-ES_tradnl"/>
        </w:rPr>
        <w:t>”, “</w:t>
      </w:r>
      <w:proofErr w:type="spellStart"/>
      <w:r w:rsidRPr="00A71674">
        <w:rPr>
          <w:rFonts w:ascii="Garamond" w:hAnsi="Garamond"/>
          <w:lang w:val="es-ES_tradnl"/>
        </w:rPr>
        <w:t>decí</w:t>
      </w:r>
      <w:proofErr w:type="spellEnd"/>
      <w:r w:rsidRPr="00A71674">
        <w:rPr>
          <w:rFonts w:ascii="Garamond" w:hAnsi="Garamond"/>
          <w:lang w:val="es-ES_tradnl"/>
        </w:rPr>
        <w:t>” por “</w:t>
      </w:r>
      <w:hyperlink r:id="rId58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di</w:t>
        </w:r>
      </w:hyperlink>
      <w:r w:rsidRPr="00A71674">
        <w:rPr>
          <w:rFonts w:ascii="Garamond" w:hAnsi="Garamond"/>
          <w:lang w:val="es-ES_tradnl"/>
        </w:rPr>
        <w:t>”, “</w:t>
      </w:r>
      <w:proofErr w:type="spellStart"/>
      <w:r w:rsidRPr="00A71674">
        <w:rPr>
          <w:rFonts w:ascii="Garamond" w:hAnsi="Garamond"/>
          <w:lang w:val="es-ES_tradnl"/>
        </w:rPr>
        <w:t>vení</w:t>
      </w:r>
      <w:proofErr w:type="spellEnd"/>
      <w:r w:rsidRPr="00A71674">
        <w:rPr>
          <w:rFonts w:ascii="Garamond" w:hAnsi="Garamond"/>
          <w:lang w:val="es-ES_tradnl"/>
        </w:rPr>
        <w:t>” por “</w:t>
      </w:r>
      <w:hyperlink r:id="rId59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ven</w:t>
        </w:r>
      </w:hyperlink>
      <w:r w:rsidRPr="00A71674">
        <w:rPr>
          <w:rFonts w:ascii="Garamond" w:hAnsi="Garamond"/>
          <w:lang w:val="es-ES_tradnl"/>
        </w:rPr>
        <w:t>”, “</w:t>
      </w:r>
      <w:proofErr w:type="spellStart"/>
      <w:r w:rsidRPr="00A71674">
        <w:rPr>
          <w:rFonts w:ascii="Garamond" w:hAnsi="Garamond"/>
          <w:lang w:val="es-ES_tradnl"/>
        </w:rPr>
        <w:t>sentate</w:t>
      </w:r>
      <w:proofErr w:type="spellEnd"/>
      <w:r w:rsidRPr="00A71674">
        <w:rPr>
          <w:rFonts w:ascii="Garamond" w:hAnsi="Garamond"/>
          <w:lang w:val="es-ES_tradnl"/>
        </w:rPr>
        <w:t>” por “</w:t>
      </w:r>
      <w:hyperlink r:id="rId60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siéntate</w:t>
        </w:r>
      </w:hyperlink>
      <w:r w:rsidRPr="00A71674">
        <w:rPr>
          <w:rFonts w:ascii="Garamond" w:hAnsi="Garamond"/>
          <w:lang w:val="es-ES_tradnl"/>
        </w:rPr>
        <w:t>”.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>Resumen</w:t>
      </w:r>
    </w:p>
    <w:p w:rsidR="00A71674" w:rsidRPr="00A71674" w:rsidRDefault="00A71674" w:rsidP="00A71674">
      <w:pPr>
        <w:pStyle w:val="NormalWeb"/>
        <w:jc w:val="both"/>
        <w:rPr>
          <w:rFonts w:ascii="Garamond" w:hAnsi="Garamond"/>
          <w:lang w:val="es-ES_tradnl"/>
        </w:rPr>
      </w:pPr>
      <w:r w:rsidRPr="00A71674">
        <w:rPr>
          <w:rFonts w:ascii="Garamond" w:hAnsi="Garamond"/>
          <w:lang w:val="es-ES_tradnl"/>
        </w:rPr>
        <w:t xml:space="preserve">En España, por defecto se debería empezar hablando a las personas con las que no tengamos mucha confianza de Vd. Si el oyente </w:t>
      </w:r>
      <w:hyperlink r:id="rId61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prefiere</w:t>
        </w:r>
      </w:hyperlink>
      <w:r w:rsidRPr="00A71674">
        <w:rPr>
          <w:rFonts w:ascii="Garamond" w:hAnsi="Garamond"/>
          <w:lang w:val="es-ES_tradnl"/>
        </w:rPr>
        <w:t xml:space="preserve"> que cambiemos a una relación más informal nos dirá “Por favor, háblame de tú”, o “Puedes </w:t>
      </w:r>
      <w:hyperlink r:id="rId62" w:tgtFrame="blank_" w:history="1">
        <w:r w:rsidRPr="00A71674">
          <w:rPr>
            <w:rStyle w:val="Hyperlink"/>
            <w:rFonts w:ascii="Garamond" w:hAnsi="Garamond"/>
            <w:color w:val="auto"/>
            <w:u w:val="none"/>
            <w:lang w:val="es-ES_tradnl"/>
          </w:rPr>
          <w:t>tutearme</w:t>
        </w:r>
      </w:hyperlink>
      <w:r w:rsidRPr="00A71674">
        <w:rPr>
          <w:rFonts w:ascii="Garamond" w:hAnsi="Garamond"/>
          <w:lang w:val="es-ES_tradnl"/>
        </w:rPr>
        <w:t>”.</w:t>
      </w:r>
    </w:p>
    <w:p w:rsidR="00597F82" w:rsidRPr="00A71674" w:rsidRDefault="00A71674" w:rsidP="00A71674">
      <w:pPr>
        <w:jc w:val="both"/>
        <w:rPr>
          <w:rFonts w:ascii="Garamond" w:hAnsi="Garamond"/>
          <w:sz w:val="24"/>
          <w:szCs w:val="24"/>
          <w:lang w:val="es-ES_tradnl"/>
        </w:rPr>
      </w:pPr>
    </w:p>
    <w:sectPr w:rsidR="00597F82" w:rsidRPr="00A71674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71674"/>
    <w:rsid w:val="00261C0C"/>
    <w:rsid w:val="003B302F"/>
    <w:rsid w:val="005564E8"/>
    <w:rsid w:val="00690FE5"/>
    <w:rsid w:val="00800818"/>
    <w:rsid w:val="0096677A"/>
    <w:rsid w:val="00A71674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dreference.com/definicion/confianza" TargetMode="External"/><Relationship Id="rId18" Type="http://schemas.openxmlformats.org/officeDocument/2006/relationships/hyperlink" Target="http://www.wordreference.com/definicion/expl%C3%ADcitamente" TargetMode="External"/><Relationship Id="rId26" Type="http://schemas.openxmlformats.org/officeDocument/2006/relationships/hyperlink" Target="http://www.wordreference.com/definicion/perder" TargetMode="External"/><Relationship Id="rId39" Type="http://schemas.openxmlformats.org/officeDocument/2006/relationships/hyperlink" Target="http://www.wordreference.com/definicion/sol%C3%ADa" TargetMode="External"/><Relationship Id="rId21" Type="http://schemas.openxmlformats.org/officeDocument/2006/relationships/hyperlink" Target="http://www.wordreference.com/definicion/manera" TargetMode="External"/><Relationship Id="rId34" Type="http://schemas.openxmlformats.org/officeDocument/2006/relationships/hyperlink" Target="http://www.wordreference.com/definicion/superiores" TargetMode="External"/><Relationship Id="rId42" Type="http://schemas.openxmlformats.org/officeDocument/2006/relationships/hyperlink" Target="http://www.wordreference.com/definicion/camarero" TargetMode="External"/><Relationship Id="rId47" Type="http://schemas.openxmlformats.org/officeDocument/2006/relationships/hyperlink" Target="http://www.wordreference.com/definicion/implica" TargetMode="External"/><Relationship Id="rId50" Type="http://schemas.openxmlformats.org/officeDocument/2006/relationships/hyperlink" Target="http://www.wordreference.com/definicion/s%C3%ADlaba" TargetMode="External"/><Relationship Id="rId55" Type="http://schemas.openxmlformats.org/officeDocument/2006/relationships/hyperlink" Target="http://www.wordreference.com/definicion/quiere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wordreference.com/definicion/vis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dreference.com/definicion/Note" TargetMode="External"/><Relationship Id="rId20" Type="http://schemas.openxmlformats.org/officeDocument/2006/relationships/hyperlink" Target="http://www.wordreference.com/definicion/cuesti%C3%B3n" TargetMode="External"/><Relationship Id="rId29" Type="http://schemas.openxmlformats.org/officeDocument/2006/relationships/hyperlink" Target="http://www.wordreference.com/definicion/desconocidas" TargetMode="External"/><Relationship Id="rId41" Type="http://schemas.openxmlformats.org/officeDocument/2006/relationships/hyperlink" Target="http://www.wordreference.com/definicion/dependiente" TargetMode="External"/><Relationship Id="rId54" Type="http://schemas.openxmlformats.org/officeDocument/2006/relationships/hyperlink" Target="http://www.wordreference.com/definicion/juegas" TargetMode="External"/><Relationship Id="rId62" Type="http://schemas.openxmlformats.org/officeDocument/2006/relationships/hyperlink" Target="http://www.wordreference.com/definicion/tute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dreference.com/definicion/salta" TargetMode="External"/><Relationship Id="rId11" Type="http://schemas.openxmlformats.org/officeDocument/2006/relationships/hyperlink" Target="http://www.wordreference.com/definicion/regla" TargetMode="External"/><Relationship Id="rId24" Type="http://schemas.openxmlformats.org/officeDocument/2006/relationships/hyperlink" Target="http://www.wordreference.com/definicion/depende" TargetMode="External"/><Relationship Id="rId32" Type="http://schemas.openxmlformats.org/officeDocument/2006/relationships/hyperlink" Target="http://www.wordreference.com/definicion/restaurantes" TargetMode="External"/><Relationship Id="rId37" Type="http://schemas.openxmlformats.org/officeDocument/2006/relationships/hyperlink" Target="http://www.wordreference.com/definicion/jerarqu%C3%ADa" TargetMode="External"/><Relationship Id="rId40" Type="http://schemas.openxmlformats.org/officeDocument/2006/relationships/hyperlink" Target="http://www.wordreference.com/definicion/infrecuente" TargetMode="External"/><Relationship Id="rId45" Type="http://schemas.openxmlformats.org/officeDocument/2006/relationships/hyperlink" Target="http://www.wordreference.com/definicion/afirmar" TargetMode="External"/><Relationship Id="rId53" Type="http://schemas.openxmlformats.org/officeDocument/2006/relationships/hyperlink" Target="http://www.wordreference.com/definicion/subes" TargetMode="External"/><Relationship Id="rId58" Type="http://schemas.openxmlformats.org/officeDocument/2006/relationships/hyperlink" Target="http://www.wordreference.com/definicion/di" TargetMode="External"/><Relationship Id="rId5" Type="http://schemas.openxmlformats.org/officeDocument/2006/relationships/hyperlink" Target="http://www.wordreference.com/definicion/latinoamericanos" TargetMode="External"/><Relationship Id="rId15" Type="http://schemas.openxmlformats.org/officeDocument/2006/relationships/hyperlink" Target="http://www.wordreference.com/definicion/cre%C3%ADdo" TargetMode="External"/><Relationship Id="rId23" Type="http://schemas.openxmlformats.org/officeDocument/2006/relationships/hyperlink" Target="http://www.wordreference.com/definicion/acompa%C3%B1an" TargetMode="External"/><Relationship Id="rId28" Type="http://schemas.openxmlformats.org/officeDocument/2006/relationships/hyperlink" Target="http://www.wordreference.com/definicion/mayores" TargetMode="External"/><Relationship Id="rId36" Type="http://schemas.openxmlformats.org/officeDocument/2006/relationships/hyperlink" Target="http://www.wordreference.com/definicion/hallan" TargetMode="External"/><Relationship Id="rId49" Type="http://schemas.openxmlformats.org/officeDocument/2006/relationships/hyperlink" Target="http://www.wordreference.com/definicion/concretas" TargetMode="External"/><Relationship Id="rId57" Type="http://schemas.openxmlformats.org/officeDocument/2006/relationships/hyperlink" Target="http://www.wordreference.com/definicion/come" TargetMode="External"/><Relationship Id="rId61" Type="http://schemas.openxmlformats.org/officeDocument/2006/relationships/hyperlink" Target="http://www.wordreference.com/definicion/prefiere" TargetMode="External"/><Relationship Id="rId10" Type="http://schemas.openxmlformats.org/officeDocument/2006/relationships/hyperlink" Target="http://www.wordreference.com/definicion/oyente" TargetMode="External"/><Relationship Id="rId19" Type="http://schemas.openxmlformats.org/officeDocument/2006/relationships/hyperlink" Target="http://www.wordreference.com/definicion/dirigir" TargetMode="External"/><Relationship Id="rId31" Type="http://schemas.openxmlformats.org/officeDocument/2006/relationships/hyperlink" Target="http://www.wordreference.com/definicion/taxis" TargetMode="External"/><Relationship Id="rId44" Type="http://schemas.openxmlformats.org/officeDocument/2006/relationships/hyperlink" Target="http://www.wordreference.com/definicion/aproximaci%C3%B3n" TargetMode="External"/><Relationship Id="rId52" Type="http://schemas.openxmlformats.org/officeDocument/2006/relationships/hyperlink" Target="http://www.wordreference.com/definicion/comes" TargetMode="External"/><Relationship Id="rId60" Type="http://schemas.openxmlformats.org/officeDocument/2006/relationships/hyperlink" Target="http://www.wordreference.com/definicion/sienta" TargetMode="External"/><Relationship Id="rId4" Type="http://schemas.openxmlformats.org/officeDocument/2006/relationships/hyperlink" Target="http://www.wordreference.com/definicion/diferencia" TargetMode="External"/><Relationship Id="rId9" Type="http://schemas.openxmlformats.org/officeDocument/2006/relationships/hyperlink" Target="http://www.wordreference.com/definicion/referir" TargetMode="External"/><Relationship Id="rId14" Type="http://schemas.openxmlformats.org/officeDocument/2006/relationships/hyperlink" Target="http://www.wordreference.com/definicion/formales" TargetMode="External"/><Relationship Id="rId22" Type="http://schemas.openxmlformats.org/officeDocument/2006/relationships/hyperlink" Target="http://www.wordreference.com/definicion/conjugado" TargetMode="External"/><Relationship Id="rId27" Type="http://schemas.openxmlformats.org/officeDocument/2006/relationships/hyperlink" Target="http://www.wordreference.com/definicion/Suelen" TargetMode="External"/><Relationship Id="rId30" Type="http://schemas.openxmlformats.org/officeDocument/2006/relationships/hyperlink" Target="http://www.wordreference.com/definicion/tiendas" TargetMode="External"/><Relationship Id="rId35" Type="http://schemas.openxmlformats.org/officeDocument/2006/relationships/hyperlink" Target="http://www.wordreference.com/definicion/empresa" TargetMode="External"/><Relationship Id="rId43" Type="http://schemas.openxmlformats.org/officeDocument/2006/relationships/hyperlink" Target="http://www.wordreference.com/definicion/generalizar" TargetMode="External"/><Relationship Id="rId48" Type="http://schemas.openxmlformats.org/officeDocument/2006/relationships/hyperlink" Target="http://www.wordreference.com/definicion/costumbre" TargetMode="External"/><Relationship Id="rId56" Type="http://schemas.openxmlformats.org/officeDocument/2006/relationships/hyperlink" Target="http://www.wordreference.com/definicion/tom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wordreference.com/definicion/habitual" TargetMode="External"/><Relationship Id="rId51" Type="http://schemas.openxmlformats.org/officeDocument/2006/relationships/hyperlink" Target="http://www.wordreference.com/definicion/cant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dreference.com/definicion/relaciones" TargetMode="External"/><Relationship Id="rId17" Type="http://schemas.openxmlformats.org/officeDocument/2006/relationships/hyperlink" Target="http://www.wordreference.com/definicion/aparecer" TargetMode="External"/><Relationship Id="rId25" Type="http://schemas.openxmlformats.org/officeDocument/2006/relationships/hyperlink" Target="http://www.wordreference.com/definicion/medida" TargetMode="External"/><Relationship Id="rId33" Type="http://schemas.openxmlformats.org/officeDocument/2006/relationships/hyperlink" Target="http://www.wordreference.com/definicion/bares" TargetMode="External"/><Relationship Id="rId38" Type="http://schemas.openxmlformats.org/officeDocument/2006/relationships/hyperlink" Target="http://www.wordreference.com/definicion/universidad" TargetMode="External"/><Relationship Id="rId46" Type="http://schemas.openxmlformats.org/officeDocument/2006/relationships/hyperlink" Target="http://www.wordreference.com/definicion/apenas" TargetMode="External"/><Relationship Id="rId59" Type="http://schemas.openxmlformats.org/officeDocument/2006/relationships/hyperlink" Target="http://www.wordreference.com/definicion/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1153</Words>
  <Characters>6574</Characters>
  <Application>Microsoft Office Word</Application>
  <DocSecurity>0</DocSecurity>
  <Lines>54</Lines>
  <Paragraphs>15</Paragraphs>
  <ScaleCrop>false</ScaleCrop>
  <Company>Pomona College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cp:lastPrinted>2010-02-25T19:25:00Z</cp:lastPrinted>
  <dcterms:created xsi:type="dcterms:W3CDTF">2010-02-25T19:24:00Z</dcterms:created>
  <dcterms:modified xsi:type="dcterms:W3CDTF">2010-02-25T19:29:00Z</dcterms:modified>
</cp:coreProperties>
</file>